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Georgia" w:cs="Georgia" w:eastAsia="Georgia" w:hAnsi="Georgia"/>
          <w:b/>
          <w:bCs/>
          <w:color w:val="000000"/>
          <w:sz w:val="32"/>
          <w:szCs w:val="32"/>
        </w:rPr>
        <w:t xml:space="preserve">DEBORAH ESTHER BROOKS</w:t>
      </w:r>
    </w:p>
    <w:p>
      <w:pPr>
        <w:spacing w:after="40"/>
        <w:jc w:val="center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Policy Scholar | Legislative &amp; Administrative Policy Research</w:t>
      </w:r>
    </w:p>
    <w:p>
      <w:pPr>
        <w:spacing w:after="200"/>
        <w:jc w:val="center"/>
      </w:pPr>
      <w:r>
        <w:rPr>
          <w:rFonts w:ascii="Georgia" w:cs="Georgia" w:eastAsia="Georgia" w:hAnsi="Georgia"/>
          <w:color w:val="000000"/>
          <w:sz w:val="19"/>
          <w:szCs w:val="19"/>
        </w:rPr>
        <w:t xml:space="preserve">Tampa, FL | Houston, TX | deborah@godfactorconsulting.com | linkedin.com/in/deborahesther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PROFESSIONAL SUMMARY</w:t>
      </w:r>
    </w:p>
    <w:p>
      <w:pPr>
        <w:spacing w:after="120" w:line="264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Published policy scholar and practitioner with over a decade of experience in disability rights, education equity, and federal compliance, specializing in IDEA enforcement and special education regulatory policy. Peer-reviewed author in the Journal of Statesmanship &amp; Public Policy (2026) and presenter at Liberty University Research Week 2026. Administered compliance oversight for $180M+ in federal ARPA allocations and built legislative-facing policy research at Texas Southern University's Thurgood Marshall School of Law. Pursuing a Juris Doctor (target: Fall 2027) to become legal counsel for state-level special education policy within five years — advising on IDEA compliance, drafting agency rules and guidance, and building rulemaking authority through non-litigation practice.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AREAS OF EXPERTISE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Disability Rights &amp; IDEA Enforcement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200"/>
              <w:bottom w:type="dxa" w:w="4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Federal Fund Compliance (ARPA)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Administrative Law &amp; Rulemaking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200"/>
              <w:bottom w:type="dxa" w:w="4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Intergovernmental &amp; Budget Analysis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Legislative Policy Analysis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200"/>
              <w:bottom w:type="dxa" w:w="4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Coalition Building &amp; Civic Engagement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Policy Briefing &amp; Legislative Support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200"/>
              <w:bottom w:type="dxa" w:w="4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Constituent Services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Big Tech Regulation &amp; Digital Equity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200"/>
              <w:bottom w:type="dxa" w:w="4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Program Evaluation &amp; Design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Juvenile Justice &amp; Child Welfare Reform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200"/>
              <w:bottom w:type="dxa" w:w="4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Trauma-Informed Program &amp; Policy Design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200"/>
            </w:tcMar>
          </w:tcPr>
          <w:p/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200"/>
              <w:bottom w:type="dxa" w:w="40"/>
              <w:right w:type="dxa" w:w="0"/>
            </w:tcMar>
          </w:tcPr>
          <w:p>
            <w:pPr>
              <w:pStyle w:val="ListParagraph"/>
              <w:numPr>
                <w:ilvl w:val="0"/>
                <w:numId w:val="1"/>
              </w:numPr>
            </w:pPr>
            <w:r>
              <w:rPr>
                <w:rFonts w:ascii="Georgia" w:cs="Georgia" w:eastAsia="Georgia" w:hAnsi="Georgia"/>
                <w:color w:val="000000"/>
                <w:sz w:val="20"/>
                <w:szCs w:val="20"/>
              </w:rPr>
              <w:t xml:space="preserve">Policy Research &amp; Written Analysis</w:t>
            </w:r>
          </w:p>
        </w:tc>
      </w:tr>
    </w:tbl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EDUCATION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Master of Public Administration — Law &amp; Public Policy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Liberty University, Helms School of Government | In Progress | Conferral: Fall 2026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Research focus: disability rights, AI/Big Tech governance, and federal education law.</w:t>
      </w:r>
    </w:p>
    <w:p>
      <w:pPr>
        <w:spacing w:after="20" w:before="2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Bachelor of Arts, Sociology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University of Missouri–Kansas City | 2019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PEER-REVIEWED PUBLICATIONS</w:t>
      </w:r>
    </w:p>
    <w:p>
      <w:pPr>
        <w:spacing w:after="160" w:line="264"/>
        <w:ind w:left="360" w:hanging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Brooks, D. (2026). The algorithm and the IEP: How state Big Tech regulation is failing neurodiverse students. Journal of Statesmanship &amp; Public Policy: Briefs and Commentaries, 1. https://digitalcommons.liberty.edu/jspp-issue-briefs-commentaries/1</w:t>
      </w:r>
    </w:p>
    <w:p>
      <w:pPr>
        <w:spacing w:after="160" w:line="264"/>
        <w:ind w:left="360" w:hanging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Brooks, D. E. (accepted, 2026). Custody without care: Biblical principles and federal policy for unaccompanied migrant children. Journal of Statesmanship &amp; Public Policy. Liberty University Digital Commons.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CONFERENCE PRESENTATIONS</w:t>
      </w:r>
    </w:p>
    <w:p>
      <w:pPr>
        <w:spacing w:after="160" w:line="264"/>
        <w:ind w:left="360" w:hanging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Brooks, D. E. (2026, April 21). Lessons from the least: Healing-centered discipline reform for neurodivergent youth in U.S. public schools [Oral presentation — Theoretical Proposal]. Liberty University Research Week 2026. https://digitalcommons.liberty.edu/research_symp/2026/oral_presentations/8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AUTHORED WORKS</w:t>
      </w:r>
    </w:p>
    <w:p>
      <w:pPr>
        <w:spacing w:after="160" w:line="264"/>
        <w:ind w:left="360" w:hanging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Brooks, D. E. (2025). Renewed: How God heals trauma &amp; sanctifies our dreams (ASIN B0GRMW6S22). Amazon KDP.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PROFESSIONAL EXPERIENCE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Founder &amp; Principal Architect (Policy &amp; Governance Consultant) — God Factor Consulting, LLC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Dec 2023 – Present | Tampa, FL | Houston, TX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Founded GFC after completing fixed-term policy engagements at the Earl Carl Institute and Harris County to apply IDEA/Big Tech and ARPA compliance expertise through an independent policy consulting practice.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Leads a policy consulting and organizational governance practice serving mission-driven organizations across governance architecture, federal compliance, and healing-centered reform.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Advises clients on intergovernmental funding structures, policy implementation, and systems design; led engagements generating up to 700% ROI.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Increased client retention by 20% and reduced operational response times by 30% through process automation.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Chief Integration Officer (Fractional / Strategic Operations Advisor) — God Never Fails Productions, Inc.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Jul 2023 – Present | Houston, TX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Oversees integration strategy, governance alignment, and policy architecture across the organization's creative and community production operations.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Developed organizational chart, strategic plan, and Integration Office policy frameworks for the Co-CEO leadership team.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Policy Analyst — Harris County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Jun 2023 – Dec 2023 | Houston, TX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Administered compliance oversight for $180M+ in ARPA federal allocations, ensuring alignment with U.S. Treasury guidance and federal eligibility standards.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Developed a multi-tier fund tracking mechanism that reduced reporting errors by 40%.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Produced executive-facing analytical reports informing legislative and budget decisions; contributed to policy recommendations that expanded early childhood services by 10%, including analysis of the $16.4M Early Learning Quality Networks (ELQN) program.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Engaged chambers of commerce, nonprofit partners, and civil society organizations to build alignment on county policy priorities.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Policy Analyst &amp; Program Development Specialist — Earl Carl Institute for Legal &amp; Social Policy, Texas Southern University, Thurgood Marshall School of Law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Sep 2022 – Jun 2023 | Houston, TX | Grant-funded fellowship, term completed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Produced legislative-facing fiscal analyses and policy briefs on education equity, youth justice, and systemic reform at a leading civil rights legal institute.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Analyzed and interpreted legislation on behalf of youth impacted by juvenile justice and child welfare systems; presented policy change recommendations to government officials.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Led the Young Women's Advisory Council (YWAC–Houston) in partnership with the Texas Women's Foundation — a yearlong leadership and social innovation cohort (2022–2023).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Supported program design and compliance documentation for legal aid, mental health, and youth development initiatives across city and county government stakeholders.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Youth Organizer — Mi Familia Vota (Houston Chapter)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Sep 2019 – Dec 2020 | Houston, TX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Organized civic engagement and voter access initiatives for Latino and immigrant communities across the Houston metro area following relocation from Kansas City.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Built relationships with 20+ high schools, 50+ community partners, and 200+ youth leaders, and built coalition partnerships across Harris County to advance education equity and civic engagement.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Youth Organizer / Policy Advocate — Collective Action for Youth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2021 – 2022 | Houston, TX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Orchestrated public policy discussions and developed program proposals, roadmaps, and advocacy reports for dual-status youth impacted by juvenile justice and child welfare systems.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Analyzed legislation and presented policy change recommendations to government officials; led grassroots efforts to support or oppose policy changes.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Organizer &amp; Community Advocate — YMCA of Greater Kansas City | Mi Familia Vota (KC Chapter) | American Friends Service Committee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2014 – Sep 2019 | Kansas City, MO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Led youth justice and education equity organizing across Kansas City's urban core, training students in strategic campaigning, coalition building, and civic engagement.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Developed relationships with 20+ high schools and 50+ community partners; recruited, trained, and oversaw organizational volunteers.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Charter Founder &amp; Lead Organizer — Springfield Coalition for Minority Advancement (S.C.M.A.), Missouri State University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Aug 2014 – May 2016 | Springfield, MO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Chartered and led a 150-student coalition that secured institutional investment in a multicultural student center at Missouri State University; featured in KSMU public radio coverage.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FELLOWSHIPS, TRAINING &amp; RECOGNITION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FIPL Campaign School — Florida Institute for Political Leadership, Tampa, FL (2024). Political strategy, campaign design, and civic leadership.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Memorial Foundation Social Justice Fellows Program, Cohort II — Selected from 100+ applicants; Washington, D.C. convening and capstone policy project.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Complete Communities University Graduate — City of Houston, Department of Neighborhoods (April 2022).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Credible Messenger Mentor — City of Houston City Council, Councilwoman Tarsha Jackson (May 2022).</w:t>
      </w:r>
    </w:p>
    <w:p>
      <w:pPr>
        <w:pBdr>
          <w:bottom w:val="single" w:color="000000" w:sz="6" w:space="2"/>
        </w:pBdr>
        <w:spacing w:after="120" w:before="30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SERVICE &amp; LEADERSHIP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Board Member, Mentorship Program Co-Chairperson — The Dara Ashley Foundation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Oct 2024 – Dec 2025 | Houston, TX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Oversee mentorship program operations, including mentor/mentee selection, program launch, and participant support, while driving program growth and evaluation.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Collaborate with the board and committees on strategic planning and progress reporting.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Manage volunteer recruitment, assignments, and program recordkeeping.</w:t>
      </w:r>
    </w:p>
    <w:p>
      <w:pPr>
        <w:spacing w:after="20" w:before="160"/>
      </w:pPr>
      <w:r>
        <w:rPr>
          <w:rFonts w:ascii="Georgia" w:cs="Georgia" w:eastAsia="Georgia" w:hAnsi="Georgia"/>
          <w:b/>
          <w:bCs/>
          <w:color w:val="000000"/>
          <w:sz w:val="20"/>
          <w:szCs w:val="20"/>
        </w:rPr>
        <w:t xml:space="preserve">Youth Mentor — The VERB Kind</w:t>
      </w:r>
    </w:p>
    <w:p>
      <w:pPr>
        <w:spacing w:after="100"/>
      </w:pPr>
      <w:r>
        <w:rPr>
          <w:rFonts w:ascii="Georgia" w:cs="Georgia" w:eastAsia="Georgia" w:hAnsi="Georgia"/>
          <w:i/>
          <w:iCs/>
          <w:color w:val="000000"/>
          <w:sz w:val="20"/>
          <w:szCs w:val="20"/>
        </w:rPr>
        <w:t xml:space="preserve">Apr 2025 – Jan 2026 | Tampa, FL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Deliver mentorship to incarcerated juvenile youth, supporting personal accountability and successful reentry.</w:t>
      </w:r>
    </w:p>
    <w:p>
      <w:pPr>
        <w:pStyle w:val="ListParagraph"/>
        <w:numPr>
          <w:ilvl w:val="0"/>
          <w:numId w:val="1"/>
        </w:numPr>
        <w:spacing w:after="80" w:line="264"/>
        <w:ind w:left="360"/>
      </w:pPr>
      <w:r>
        <w:rPr>
          <w:rFonts w:ascii="Georgia" w:cs="Georgia" w:eastAsia="Georgia" w:hAnsi="Georgia"/>
          <w:color w:val="000000"/>
          <w:sz w:val="20"/>
          <w:szCs w:val="20"/>
        </w:rPr>
        <w:t xml:space="preserve">Facilitate access to education and community resources to support long-term reintegration.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2026-07-09T22:50:01.363Z</dcterms:created>
  <dcterms:modified xsi:type="dcterms:W3CDTF">2026-07-09T22:50:01.375Z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